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0E" w:rsidRPr="00354229" w:rsidRDefault="00267A0E" w:rsidP="00354229">
      <w:pPr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rPr>
          <w:rFonts w:asciiTheme="minorHAnsi" w:eastAsia="Calibri" w:hAnsiTheme="minorHAnsi" w:cstheme="minorHAnsi"/>
          <w:sz w:val="24"/>
          <w:szCs w:val="24"/>
        </w:rPr>
      </w:pPr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KLASA: </w:t>
      </w:r>
      <w:r w:rsidRPr="00354229">
        <w:rPr>
          <w:rFonts w:asciiTheme="minorHAnsi" w:eastAsia="Calibri" w:hAnsiTheme="minorHAnsi" w:cstheme="minorHAnsi"/>
          <w:sz w:val="24"/>
          <w:szCs w:val="24"/>
          <w:lang w:val="hr-HR"/>
        </w:rPr>
        <w:t>360-01/19-01/11</w:t>
      </w:r>
    </w:p>
    <w:p w:rsidR="00354229" w:rsidRPr="00354229" w:rsidRDefault="00354229" w:rsidP="00354229">
      <w:pPr>
        <w:rPr>
          <w:rFonts w:asciiTheme="minorHAnsi" w:eastAsia="Calibri" w:hAnsiTheme="minorHAnsi" w:cstheme="minorHAnsi"/>
          <w:sz w:val="24"/>
          <w:szCs w:val="24"/>
        </w:rPr>
      </w:pPr>
      <w:r w:rsidRPr="00354229">
        <w:rPr>
          <w:rFonts w:asciiTheme="minorHAnsi" w:eastAsia="Calibri" w:hAnsiTheme="minorHAnsi" w:cstheme="minorHAnsi"/>
          <w:sz w:val="24"/>
          <w:szCs w:val="24"/>
        </w:rPr>
        <w:t>URBROJ: 2176/04-03-19-2</w:t>
      </w:r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 24.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travnja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2019.</w:t>
      </w:r>
    </w:p>
    <w:p w:rsidR="00354229" w:rsidRPr="00354229" w:rsidRDefault="00354229" w:rsidP="00354229">
      <w:pPr>
        <w:jc w:val="center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54229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5.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uvjetima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načinu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kriterijima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vjesnik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17/19)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vijeća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(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KLASA:360-01/19-01/11;  URBROJ: 2176/04-01-19-2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24.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travnja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2019.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)  Grad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objavljuje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4229" w:rsidRPr="00354229" w:rsidRDefault="00354229" w:rsidP="00354229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54229">
        <w:rPr>
          <w:rFonts w:asciiTheme="minorHAnsi" w:eastAsia="Calibri" w:hAnsiTheme="minorHAnsi" w:cstheme="minorHAnsi"/>
          <w:b/>
          <w:sz w:val="24"/>
          <w:szCs w:val="24"/>
        </w:rPr>
        <w:t>JAVNI POZIV</w:t>
      </w:r>
    </w:p>
    <w:p w:rsidR="00354229" w:rsidRPr="00354229" w:rsidRDefault="00354229" w:rsidP="0035422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proofErr w:type="gram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za</w:t>
      </w:r>
      <w:proofErr w:type="spellEnd"/>
      <w:proofErr w:type="gram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podnošenje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prijava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za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sufinanciranje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obnove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višestambenih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zgrada</w:t>
      </w:r>
      <w:proofErr w:type="spellEnd"/>
    </w:p>
    <w:p w:rsidR="00354229" w:rsidRDefault="00354229" w:rsidP="0035422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na</w:t>
      </w:r>
      <w:proofErr w:type="spellEnd"/>
      <w:proofErr w:type="gram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području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grada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Novske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u 2019. </w:t>
      </w:r>
      <w:proofErr w:type="spellStart"/>
      <w:proofErr w:type="gramStart"/>
      <w:r w:rsidRPr="00354229">
        <w:rPr>
          <w:rFonts w:asciiTheme="minorHAnsi" w:eastAsia="Calibri" w:hAnsiTheme="minorHAnsi" w:cstheme="minorHAnsi"/>
          <w:b/>
          <w:sz w:val="24"/>
          <w:szCs w:val="24"/>
        </w:rPr>
        <w:t>godini</w:t>
      </w:r>
      <w:proofErr w:type="spellEnd"/>
      <w:proofErr w:type="gram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267A0E" w:rsidRPr="00354229" w:rsidRDefault="00267A0E" w:rsidP="0035422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354229" w:rsidRPr="00354229" w:rsidRDefault="00354229" w:rsidP="0035422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eastAsia="Calibri" w:hAnsiTheme="minorHAnsi" w:cstheme="minorHAnsi"/>
          <w:sz w:val="24"/>
          <w:szCs w:val="24"/>
        </w:rPr>
        <w:t>1.</w:t>
      </w:r>
      <w:r w:rsidRPr="00354229">
        <w:rPr>
          <w:rFonts w:asciiTheme="minorHAnsi" w:eastAsia="Calibri" w:hAnsiTheme="minorHAnsi" w:cstheme="minorHAnsi"/>
          <w:b/>
          <w:sz w:val="24"/>
          <w:szCs w:val="24"/>
        </w:rPr>
        <w:tab/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Javni</w:t>
      </w:r>
      <w:proofErr w:type="spellEnd"/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poziv</w:t>
      </w:r>
      <w:proofErr w:type="spellEnd"/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upućen</w:t>
      </w:r>
      <w:proofErr w:type="spellEnd"/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suvlasnicima</w:t>
      </w:r>
      <w:proofErr w:type="spellEnd"/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višestambenih</w:t>
      </w:r>
      <w:proofErr w:type="spellEnd"/>
      <w:r w:rsidRPr="00354229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eastAsia="Calibr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zajedničko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iskazanom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modelu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:  Grad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70%, 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suvlasnici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30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ukupno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potrebnih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najmanje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50%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korisne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površine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koristi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stanovanje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tri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jedinica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upravlja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zakonom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uređuje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pravo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vlasništva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druga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stvarna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uredbom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regulira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>2.</w:t>
      </w:r>
      <w:r w:rsidRPr="003542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Mjere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prihvatljive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: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izrada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projektne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dokumentacije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građevinski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postojeće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fasade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izgradnje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zamjena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zajedničke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stolarije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obnova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krovišta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</w:t>
      </w:r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obrtnički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limarski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bravarski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),</w:t>
      </w:r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-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stručni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nadzor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građenja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267A0E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>3.</w:t>
      </w:r>
      <w:r w:rsidRPr="003542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popunjavanjem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obrasca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nalazi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službenoj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stranici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 </w:t>
      </w:r>
      <w:hyperlink r:id="rId5" w:history="1">
        <w:r w:rsidRPr="00354229">
          <w:rPr>
            <w:rFonts w:asciiTheme="minorHAnsi" w:hAnsiTheme="minorHAnsi" w:cstheme="minorHAnsi"/>
            <w:sz w:val="24"/>
            <w:szCs w:val="24"/>
          </w:rPr>
          <w:t>www.novska.hr</w:t>
        </w:r>
      </w:hyperlink>
      <w:r w:rsidRPr="00354229">
        <w:rPr>
          <w:rFonts w:asciiTheme="minorHAnsi" w:hAnsiTheme="minorHAnsi" w:cstheme="minorHAnsi"/>
          <w:sz w:val="24"/>
          <w:szCs w:val="24"/>
        </w:rPr>
        <w:t>.</w:t>
      </w:r>
      <w:r w:rsidRPr="00354229">
        <w:rPr>
          <w:rFonts w:asciiTheme="minorHAnsi" w:hAnsiTheme="minorHAnsi" w:cstheme="minorHAnsi"/>
          <w:sz w:val="24"/>
          <w:szCs w:val="24"/>
        </w:rPr>
        <w:tab/>
      </w:r>
    </w:p>
    <w:p w:rsidR="00267A0E" w:rsidRPr="00267A0E" w:rsidRDefault="00354229" w:rsidP="00267A0E">
      <w:pPr>
        <w:ind w:firstLine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dostavljaju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adresu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: Grad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dr.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Franje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Tuđmana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2 (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pisarnica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preporučeno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poštom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zatvorenoj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omotnici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naznakom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Prijava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na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javni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poziv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obnovu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višestambenih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”.  </w:t>
      </w:r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dostaviti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odgovarajuću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1)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suglasnost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natpolovična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većina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računa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suvlasničkim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dijelovima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broju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upravljanju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stambenom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sudskog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2)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ime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prezime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svih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nekretnine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), OIB; </w:t>
      </w:r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3)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sudskog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obrtnog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upravitelja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prezime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osobe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ovlaštene</w:t>
      </w:r>
      <w:proofErr w:type="spellEnd"/>
    </w:p>
    <w:p w:rsidR="00354229" w:rsidRPr="00354229" w:rsidRDefault="00354229" w:rsidP="00354229">
      <w:pPr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zastupanje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upravitelja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telefon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mobitel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e-mail,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4)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izvod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katastarskog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plana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posjedovnim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identifikacijom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stariji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od 6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mjeseci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5)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verificirani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zemljišne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knjige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stariji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od 6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mjeseci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pravovaljani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dokaz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stjecanju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vlasništva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  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lastRenderedPageBreak/>
        <w:t xml:space="preserve">6) 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presliku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dokaza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legalnosti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građevine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,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7)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ugovor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upravljanju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pripadajućim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prilozima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međuvlasnički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8)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projektnu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izrađenu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ovjerenu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ovlaštenog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projektanta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ponudbeni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troškovnik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9)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izjavu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potvrđuje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raspolaže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osiguranim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financijskim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sredstvima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suvlasnika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troškovniku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sastavni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dio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tehničke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dokumentacije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  <w:r w:rsidRPr="00354229">
        <w:rPr>
          <w:rFonts w:asciiTheme="minorHAnsi" w:hAnsiTheme="minorHAnsi" w:cstheme="minorHAnsi"/>
          <w:sz w:val="24"/>
          <w:szCs w:val="24"/>
        </w:rPr>
        <w:tab/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54229">
        <w:rPr>
          <w:rFonts w:asciiTheme="minorHAnsi" w:hAnsiTheme="minorHAnsi" w:cstheme="minorHAnsi"/>
          <w:sz w:val="24"/>
          <w:szCs w:val="24"/>
        </w:rPr>
        <w:t>4.</w:t>
      </w:r>
      <w:r w:rsidRPr="00354229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poziv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otvoren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najduže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do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 30.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studenog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2019.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godine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</w:t>
      </w:r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rijave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se 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otvaraju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redoslijedom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zaprimanja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 Grad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će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obavijestiti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prijavitelje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zatvaranju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javnog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poziva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kada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ukupan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iznos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zatraženih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sredstava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po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prijavama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premaši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raspoloživi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iznos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financijskih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sredstava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osiguran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proračunu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2019.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5.</w:t>
      </w:r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Pr="00354229">
        <w:rPr>
          <w:rFonts w:asciiTheme="minorHAnsi" w:hAnsiTheme="minorHAnsi" w:cstheme="minorHAnsi"/>
          <w:sz w:val="24"/>
          <w:szCs w:val="24"/>
        </w:rPr>
        <w:t>tručno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vrednovanje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podnesenih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bodovanje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zaprimljenim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prijavama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utvrđivanje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prijedloga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provodi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Povjerenstvo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skladu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>odredbama</w:t>
      </w:r>
      <w:proofErr w:type="spellEnd"/>
      <w:r w:rsidRPr="0035422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Odluke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uvjetima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načinu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kriterijima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vjesnik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17/19). </w:t>
      </w: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>6.</w:t>
      </w:r>
      <w:r w:rsidRPr="003542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uvršten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propisima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uređuje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javna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obvezan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provoditi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provoditi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propisima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</w:t>
      </w:r>
      <w:r w:rsidR="00A36397">
        <w:rPr>
          <w:rFonts w:asciiTheme="minorHAnsi" w:hAnsiTheme="minorHAnsi" w:cstheme="minorHAnsi"/>
          <w:sz w:val="24"/>
          <w:szCs w:val="24"/>
        </w:rPr>
        <w:t>pisima</w:t>
      </w:r>
      <w:proofErr w:type="spellEnd"/>
      <w:r w:rsidR="00A363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6397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="00A363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6397">
        <w:rPr>
          <w:rFonts w:asciiTheme="minorHAnsi" w:hAnsiTheme="minorHAnsi" w:cstheme="minorHAnsi"/>
          <w:sz w:val="24"/>
          <w:szCs w:val="24"/>
        </w:rPr>
        <w:t>stavka</w:t>
      </w:r>
      <w:proofErr w:type="spellEnd"/>
      <w:r w:rsidR="00A36397">
        <w:rPr>
          <w:rFonts w:asciiTheme="minorHAnsi" w:hAnsiTheme="minorHAnsi" w:cstheme="minorHAnsi"/>
          <w:sz w:val="24"/>
          <w:szCs w:val="24"/>
        </w:rPr>
        <w:t xml:space="preserve"> 1.</w:t>
      </w:r>
      <w:proofErr w:type="gramEnd"/>
      <w:r w:rsidR="00A363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A36397">
        <w:rPr>
          <w:rFonts w:asciiTheme="minorHAnsi" w:hAnsiTheme="minorHAnsi" w:cstheme="minorHAnsi"/>
          <w:sz w:val="24"/>
          <w:szCs w:val="24"/>
        </w:rPr>
        <w:t>ove</w:t>
      </w:r>
      <w:proofErr w:type="spellEnd"/>
      <w:proofErr w:type="gramEnd"/>
      <w:r w:rsidR="00A3639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36397">
        <w:rPr>
          <w:rFonts w:asciiTheme="minorHAnsi" w:hAnsiTheme="minorHAnsi" w:cstheme="minorHAnsi"/>
          <w:sz w:val="24"/>
          <w:szCs w:val="24"/>
        </w:rPr>
        <w:t>točke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nije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obvezan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provoditi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Gradonačeniku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dostaviti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dokaz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da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odabrao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najpovoljniju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ponudu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najmanje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tri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prikupljene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ponude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postupak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provesti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54229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100 dana od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uvrštenja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54229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odabira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najpovoljnije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ponude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izvođenje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višestambenih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osigurati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sudjelovanje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predstavnika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7A0E" w:rsidRPr="00354229" w:rsidRDefault="00354229" w:rsidP="008919F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Odabrani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prijavitelj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dužan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nakon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provedenog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postupka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nabave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dostaviti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izvedbeni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troškovnik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izvođenju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odabranim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ponuditeljem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od 120 dana od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uvrštenja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4229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prijavitelj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roku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prethodnog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stavka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dostavi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izvedbeni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troškovnik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ugovor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izvođenju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smatra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se da je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odustao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54229">
        <w:rPr>
          <w:rFonts w:asciiTheme="minorHAnsi" w:hAnsiTheme="minorHAnsi" w:cstheme="minorHAnsi"/>
          <w:sz w:val="24"/>
          <w:szCs w:val="24"/>
        </w:rPr>
        <w:t>od</w:t>
      </w:r>
      <w:proofErr w:type="spellEnd"/>
      <w:proofErr w:type="gram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obnove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višestambene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zgrade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kojima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upravlja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bit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brisane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54229" w:rsidRPr="00354229" w:rsidRDefault="00354229" w:rsidP="00354229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>7.</w:t>
      </w:r>
      <w:r w:rsidRPr="0035422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Odluku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dodjeli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sufinanciranog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iznosa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donosi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nadležno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tijelo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ovlašteno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raspolaganje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imovinom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općem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aktu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354229">
        <w:rPr>
          <w:rFonts w:asciiTheme="minorHAnsi" w:hAnsiTheme="minorHAnsi" w:cstheme="minorHAnsi"/>
          <w:sz w:val="24"/>
          <w:szCs w:val="24"/>
        </w:rPr>
        <w:t>.</w:t>
      </w:r>
    </w:p>
    <w:p w:rsidR="00354229" w:rsidRPr="00354229" w:rsidRDefault="00354229" w:rsidP="00354229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4229" w:rsidRPr="00354229" w:rsidRDefault="00354229" w:rsidP="00354229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422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Grad </w:t>
      </w:r>
      <w:proofErr w:type="spellStart"/>
      <w:r w:rsidRPr="00354229">
        <w:rPr>
          <w:rFonts w:asciiTheme="minorHAnsi" w:hAnsiTheme="minorHAnsi" w:cstheme="minorHAnsi"/>
          <w:sz w:val="24"/>
          <w:szCs w:val="24"/>
        </w:rPr>
        <w:t>Novska</w:t>
      </w:r>
      <w:proofErr w:type="spellEnd"/>
    </w:p>
    <w:p w:rsidR="00993BFD" w:rsidRPr="00993BFD" w:rsidRDefault="00993BFD" w:rsidP="00993BFD">
      <w:pPr>
        <w:rPr>
          <w:rFonts w:asciiTheme="minorHAnsi" w:hAnsiTheme="minorHAnsi" w:cstheme="minorHAnsi"/>
          <w:sz w:val="24"/>
          <w:szCs w:val="24"/>
        </w:rPr>
      </w:pPr>
    </w:p>
    <w:sectPr w:rsidR="00993BFD" w:rsidRPr="00993BFD" w:rsidSect="0076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FD"/>
    <w:rsid w:val="000C3846"/>
    <w:rsid w:val="002476F1"/>
    <w:rsid w:val="00267A0E"/>
    <w:rsid w:val="002A604E"/>
    <w:rsid w:val="002B2009"/>
    <w:rsid w:val="00354229"/>
    <w:rsid w:val="00430437"/>
    <w:rsid w:val="0056673F"/>
    <w:rsid w:val="005D2DD1"/>
    <w:rsid w:val="00767CA6"/>
    <w:rsid w:val="007C2FC3"/>
    <w:rsid w:val="008919F9"/>
    <w:rsid w:val="00993BFD"/>
    <w:rsid w:val="00A06BC4"/>
    <w:rsid w:val="00A36397"/>
    <w:rsid w:val="00AB5C05"/>
    <w:rsid w:val="00DE74CB"/>
    <w:rsid w:val="00E13EB9"/>
    <w:rsid w:val="00EA535B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FD"/>
    <w:pPr>
      <w:spacing w:after="0" w:line="240" w:lineRule="auto"/>
    </w:pPr>
    <w:rPr>
      <w:rFonts w:ascii="Dutch801 RmHd BT" w:eastAsia="Times New Roman" w:hAnsi="Dutch801 RmHd BT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422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3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35B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FD"/>
    <w:pPr>
      <w:spacing w:after="0" w:line="240" w:lineRule="auto"/>
    </w:pPr>
    <w:rPr>
      <w:rFonts w:ascii="Dutch801 RmHd BT" w:eastAsia="Times New Roman" w:hAnsi="Dutch801 RmHd BT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422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3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35B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4</cp:revision>
  <cp:lastPrinted>2019-04-24T11:17:00Z</cp:lastPrinted>
  <dcterms:created xsi:type="dcterms:W3CDTF">2019-04-24T11:06:00Z</dcterms:created>
  <dcterms:modified xsi:type="dcterms:W3CDTF">2019-04-24T11:18:00Z</dcterms:modified>
</cp:coreProperties>
</file>