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CF65F5" w:rsidTr="005B395C">
        <w:tc>
          <w:tcPr>
            <w:tcW w:w="750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2A5E38" w:rsidRPr="00CF65F5" w:rsidTr="005B395C">
        <w:tc>
          <w:tcPr>
            <w:tcW w:w="750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Ima li prijavitelj dovoljno iskustva i  upravljačkog kapaciteta u provođenju sličnih projekata (odgovarajuće sposobnosti, znanja i vještine za njegovo provođenje, te sposobnost vođenja proračuna projekta)?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 10 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CF65F5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Prijedlog projekta neupitno ulazi u područje javnog poziva i prioriteta financiranja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CF65F5" w:rsidRDefault="002A5E38" w:rsidP="005E60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Ima li pro</w:t>
            </w:r>
            <w:r w:rsidR="005E60C0" w:rsidRPr="00CF65F5">
              <w:rPr>
                <w:rFonts w:cstheme="minorHAnsi"/>
                <w:sz w:val="24"/>
                <w:szCs w:val="24"/>
              </w:rPr>
              <w:t>jekt</w:t>
            </w:r>
            <w:r w:rsidRPr="00CF65F5">
              <w:rPr>
                <w:rFonts w:cstheme="minorHAnsi"/>
                <w:sz w:val="24"/>
                <w:szCs w:val="24"/>
              </w:rPr>
              <w:t xml:space="preserve"> jasno definirane korisnike ? Definira li projekt njihove potrebe  i u kojoj mjer</w:t>
            </w:r>
            <w:r w:rsidR="00B31C44" w:rsidRPr="00CF65F5">
              <w:rPr>
                <w:rFonts w:cstheme="minorHAnsi"/>
                <w:sz w:val="24"/>
                <w:szCs w:val="24"/>
              </w:rPr>
              <w:t>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CF65F5" w:rsidRDefault="002A5E38" w:rsidP="005E60C0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Predloženi pro</w:t>
            </w:r>
            <w:r w:rsidR="005E60C0" w:rsidRPr="00CF65F5">
              <w:rPr>
                <w:rFonts w:cstheme="minorHAnsi"/>
                <w:sz w:val="24"/>
                <w:szCs w:val="24"/>
              </w:rPr>
              <w:t>jekt</w:t>
            </w:r>
            <w:r w:rsidRPr="00CF65F5">
              <w:rPr>
                <w:rFonts w:cstheme="minorHAnsi"/>
                <w:sz w:val="24"/>
                <w:szCs w:val="24"/>
              </w:rPr>
              <w:t xml:space="preserve">  doprinosi ostvarenju općeg cilja javnog poziva i posebnih ciljeva odgovarajučeg područja i prioriteta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Ukupan broj bodova (20)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 20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Obrazac proračuna projekta   i troškovnik radova    </w:t>
            </w:r>
            <w:r w:rsidR="003133EB"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Proračun projekta prikazuje ukupne troškove projekta i detaljno je razrađen po vrstama troškova i izvorima sredstava?</w:t>
            </w: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U proračun su uključeni neophodni prihvatljivi troškovi projekta, ekonomično su planirani i utemeljeni su na realnoj cijeni/procjeni?</w:t>
            </w: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5136" w:type="dxa"/>
            <w:shd w:val="clear" w:color="auto" w:fill="B5F2A4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objekt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CF65F5" w:rsidRDefault="0036551E" w:rsidP="0036551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Prema stanju </w:t>
            </w:r>
            <w:r w:rsidR="00605544" w:rsidRPr="00CF65F5">
              <w:rPr>
                <w:rFonts w:cstheme="minorHAnsi"/>
                <w:sz w:val="24"/>
                <w:szCs w:val="24"/>
              </w:rPr>
              <w:t xml:space="preserve">sakralnog </w:t>
            </w:r>
            <w:r w:rsidR="00EA2633" w:rsidRPr="00CF65F5">
              <w:rPr>
                <w:rFonts w:cstheme="minorHAnsi"/>
                <w:sz w:val="24"/>
                <w:szCs w:val="24"/>
              </w:rPr>
              <w:t>objekta</w:t>
            </w:r>
            <w:r w:rsidRPr="00CF65F5">
              <w:rPr>
                <w:rFonts w:cstheme="minorHAnsi"/>
                <w:sz w:val="24"/>
                <w:szCs w:val="24"/>
              </w:rPr>
              <w:t xml:space="preserve"> postoji nužnost za izvođenjem predloženih radova</w:t>
            </w:r>
            <w:r w:rsidR="00F85863" w:rsidRPr="00CF65F5">
              <w:rPr>
                <w:rFonts w:cstheme="minorHAnsi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CF65F5" w:rsidRDefault="0036551E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Objekt ima određeni stupanj zaštite u registru kulturnih dobara Republike Hrvatske?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Nema zaštitu............................................0 bodova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Preventivna zaštita.................................</w:t>
            </w:r>
            <w:r w:rsidR="00EC2ECE" w:rsidRPr="00CF65F5">
              <w:rPr>
                <w:rFonts w:cstheme="minorHAnsi"/>
                <w:sz w:val="24"/>
                <w:szCs w:val="24"/>
              </w:rPr>
              <w:t>..</w:t>
            </w:r>
            <w:r w:rsidR="00676653" w:rsidRPr="00CF65F5">
              <w:rPr>
                <w:rFonts w:cstheme="minorHAnsi"/>
                <w:sz w:val="24"/>
                <w:szCs w:val="24"/>
              </w:rPr>
              <w:t>5</w:t>
            </w:r>
            <w:r w:rsidRPr="00CF65F5">
              <w:rPr>
                <w:rFonts w:cstheme="minorHAnsi"/>
                <w:sz w:val="24"/>
                <w:szCs w:val="24"/>
              </w:rPr>
              <w:t xml:space="preserve"> boda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Zaštićeno kulturno dobro......................</w:t>
            </w:r>
            <w:r w:rsidR="00676653" w:rsidRPr="00CF65F5">
              <w:rPr>
                <w:rFonts w:cstheme="minorHAnsi"/>
                <w:sz w:val="24"/>
                <w:szCs w:val="24"/>
              </w:rPr>
              <w:t>.10</w:t>
            </w:r>
            <w:r w:rsidRPr="00CF65F5">
              <w:rPr>
                <w:rFonts w:cstheme="minorHAnsi"/>
                <w:sz w:val="24"/>
                <w:szCs w:val="24"/>
              </w:rPr>
              <w:t xml:space="preserve"> bodova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CF65F5" w:rsidRDefault="00F85863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5</w:t>
            </w:r>
            <w:r w:rsidR="005A0845" w:rsidRPr="00CF65F5">
              <w:rPr>
                <w:rFonts w:cstheme="minorHAnsi"/>
                <w:b/>
                <w:sz w:val="24"/>
                <w:szCs w:val="24"/>
              </w:rPr>
              <w:t xml:space="preserve"> ili 10</w:t>
            </w:r>
            <w:r w:rsidR="002A5E38" w:rsidRPr="00CF65F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D.3.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Vrsta vjerskog objekta: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Crkva........................</w:t>
            </w:r>
            <w:r w:rsidR="00B15C53" w:rsidRPr="00CF65F5">
              <w:rPr>
                <w:rFonts w:cstheme="minorHAnsi"/>
                <w:sz w:val="24"/>
                <w:szCs w:val="24"/>
              </w:rPr>
              <w:t>...............................10</w:t>
            </w:r>
            <w:r w:rsidRPr="00CF65F5">
              <w:rPr>
                <w:rFonts w:cstheme="minorHAnsi"/>
                <w:sz w:val="24"/>
                <w:szCs w:val="24"/>
              </w:rPr>
              <w:t xml:space="preserve"> bodova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Župni ured ..............................................</w:t>
            </w:r>
            <w:r w:rsidR="00C05C3D" w:rsidRPr="00CF65F5">
              <w:rPr>
                <w:rFonts w:cstheme="minorHAnsi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CF65F5" w:rsidRDefault="00C05C3D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:rsidR="002A5E38" w:rsidRPr="00CF65F5" w:rsidRDefault="00C05C3D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Max.3</w:t>
            </w:r>
            <w:r w:rsidR="002A5E38" w:rsidRPr="00CF65F5">
              <w:rPr>
                <w:rFonts w:cstheme="minorHAnsi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:rsidTr="005B395C">
        <w:tc>
          <w:tcPr>
            <w:tcW w:w="750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:rsidR="002A5E38" w:rsidRPr="00CF65F5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05C3D" w:rsidRPr="00CF65F5">
              <w:rPr>
                <w:rFonts w:cstheme="minorHAnsi"/>
                <w:b/>
                <w:sz w:val="24"/>
                <w:szCs w:val="24"/>
              </w:rPr>
              <w:t>8</w:t>
            </w:r>
            <w:r w:rsidRPr="00CF65F5">
              <w:rPr>
                <w:rFonts w:cstheme="minorHAnsi"/>
                <w:b/>
                <w:sz w:val="24"/>
                <w:szCs w:val="24"/>
              </w:rPr>
              <w:t xml:space="preserve">0 Bodova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5544" w:rsidRPr="00CF65F5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05544" w:rsidRPr="00CF65F5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2A5E38" w:rsidRPr="00CF65F5" w:rsidRDefault="00EA5E71" w:rsidP="002A5E3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Povjerenstvo daje i opisnu</w:t>
      </w:r>
      <w:r w:rsidR="002A5E38" w:rsidRPr="00CF65F5">
        <w:rPr>
          <w:rFonts w:cstheme="minorHAnsi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 w:rsidRPr="00CF65F5">
        <w:rPr>
          <w:rFonts w:cstheme="minorHAnsi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CF65F5" w:rsidTr="008A57B8">
        <w:tc>
          <w:tcPr>
            <w:tcW w:w="9062" w:type="dxa"/>
          </w:tcPr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A57B8" w:rsidRPr="00CF65F5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:rsidR="008A57B8" w:rsidRPr="00CF65F5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:rsidR="008A57B8" w:rsidRPr="00CF65F5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CF65F5">
        <w:rPr>
          <w:rFonts w:cstheme="minorHAnsi"/>
          <w:b/>
          <w:i/>
          <w:sz w:val="24"/>
          <w:szCs w:val="24"/>
        </w:rPr>
        <w:lastRenderedPageBreak/>
        <w:t xml:space="preserve">Opisna ocjena projekta treba biti sukladna broju bodova iz brojčane ocjene. </w:t>
      </w:r>
    </w:p>
    <w:p w:rsidR="008A57B8" w:rsidRPr="00CF65F5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CF65F5">
        <w:rPr>
          <w:rFonts w:cstheme="minorHAnsi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8A57B8" w:rsidRPr="00CF65F5" w:rsidRDefault="008A57B8" w:rsidP="008A57B8">
      <w:pPr>
        <w:rPr>
          <w:rFonts w:cstheme="minorHAnsi"/>
          <w:b/>
          <w:sz w:val="24"/>
          <w:szCs w:val="24"/>
        </w:rPr>
      </w:pPr>
    </w:p>
    <w:p w:rsidR="008A57B8" w:rsidRPr="00CF65F5" w:rsidRDefault="008A57B8" w:rsidP="008A57B8">
      <w:pPr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Datum</w:t>
      </w:r>
      <w:r w:rsidRPr="00CF65F5">
        <w:rPr>
          <w:rFonts w:cstheme="minorHAnsi"/>
          <w:b/>
          <w:sz w:val="24"/>
          <w:szCs w:val="24"/>
        </w:rPr>
        <w:tab/>
        <w:t>:</w:t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 xml:space="preserve">    Potpisi članova Ocjenjivačkog </w:t>
      </w:r>
    </w:p>
    <w:p w:rsidR="008A57B8" w:rsidRPr="00CF65F5" w:rsidRDefault="008A57B8" w:rsidP="008A57B8">
      <w:pPr>
        <w:ind w:left="4956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 xml:space="preserve">         povjerenstva</w:t>
      </w:r>
    </w:p>
    <w:p w:rsidR="008A57B8" w:rsidRPr="00CF65F5" w:rsidRDefault="008A57B8" w:rsidP="008A57B8">
      <w:pPr>
        <w:rPr>
          <w:rFonts w:cstheme="minorHAnsi"/>
          <w:b/>
          <w:sz w:val="24"/>
          <w:szCs w:val="24"/>
        </w:rPr>
      </w:pPr>
    </w:p>
    <w:p w:rsidR="008A57B8" w:rsidRPr="00CF65F5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 xml:space="preserve">1. </w:t>
      </w:r>
    </w:p>
    <w:p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>2.</w:t>
      </w:r>
    </w:p>
    <w:p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</w:p>
    <w:p w:rsidR="008A57B8" w:rsidRPr="00CF65F5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Na temelju provedenog postupka ocjenjivanja projekata, a na prijedlog Povjerenstva za ocjenjivanje, gradonačelnik Grada Novske  donosi Odluku o dodjeli financijskih sredstava</w:t>
      </w:r>
      <w:r w:rsidR="00962DB3" w:rsidRPr="00CF65F5">
        <w:rPr>
          <w:rFonts w:cstheme="minorHAnsi"/>
          <w:b/>
          <w:sz w:val="24"/>
          <w:szCs w:val="24"/>
        </w:rPr>
        <w:t xml:space="preserve">. </w:t>
      </w:r>
    </w:p>
    <w:p w:rsidR="00AF6B6D" w:rsidRPr="00CF65F5" w:rsidRDefault="00AF6B6D">
      <w:pPr>
        <w:rPr>
          <w:rFonts w:cstheme="minorHAnsi"/>
          <w:b/>
        </w:rPr>
      </w:pPr>
    </w:p>
    <w:sectPr w:rsidR="00AF6B6D" w:rsidRPr="00CF65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8D" w:rsidRDefault="00922A8D" w:rsidP="002A5E38">
      <w:pPr>
        <w:spacing w:before="0" w:after="0" w:line="240" w:lineRule="auto"/>
      </w:pPr>
      <w:r>
        <w:separator/>
      </w:r>
    </w:p>
  </w:endnote>
  <w:endnote w:type="continuationSeparator" w:id="0">
    <w:p w:rsidR="00922A8D" w:rsidRDefault="00922A8D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8D" w:rsidRDefault="00922A8D" w:rsidP="002A5E38">
      <w:pPr>
        <w:spacing w:before="0" w:after="0" w:line="240" w:lineRule="auto"/>
      </w:pPr>
      <w:r>
        <w:separator/>
      </w:r>
    </w:p>
  </w:footnote>
  <w:footnote w:type="continuationSeparator" w:id="0">
    <w:p w:rsidR="00922A8D" w:rsidRDefault="00922A8D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E49D5A6" wp14:editId="019626FD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156F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kriteriji </w:t>
                          </w:r>
                          <w:r w:rsid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</w:t>
                          </w:r>
                        </w:p>
                        <w:p w:rsidR="002A5E38" w:rsidRPr="00AC156F" w:rsidRDefault="00AC156F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obnova</w:t>
                          </w:r>
                          <w:r w:rsidR="00B31C44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, izgradnja i opremanje</w:t>
                          </w:r>
                          <w:r w:rsidR="008E0DB1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SAKRA</w:t>
                          </w:r>
                          <w:r w:rsidR="002A5E38"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" o:allowoverlap="f" fillcolor="#4f81bd [3204]" stroked="f" strokeweight="2pt">
              <v:textbox style="mso-fit-shape-to-text:t">
                <w:txbxContent>
                  <w:p w:rsidR="00AC156F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kriteriji </w:t>
                    </w:r>
                    <w:r w:rsid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</w:t>
                    </w:r>
                  </w:p>
                  <w:p w:rsidR="002A5E38" w:rsidRPr="00AC156F" w:rsidRDefault="00AC156F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</w:pPr>
                    <w:r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obnova</w:t>
                    </w:r>
                    <w:r w:rsidR="00B31C44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, izgradnja i opremanje</w:t>
                    </w:r>
                    <w:r w:rsidR="008E0DB1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SAKRA</w:t>
                    </w:r>
                    <w:r w:rsidR="002A5E38"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38"/>
    <w:rsid w:val="00066E60"/>
    <w:rsid w:val="00232E67"/>
    <w:rsid w:val="002A5E38"/>
    <w:rsid w:val="002C28CE"/>
    <w:rsid w:val="003133EB"/>
    <w:rsid w:val="00322A2F"/>
    <w:rsid w:val="0036551E"/>
    <w:rsid w:val="0038126A"/>
    <w:rsid w:val="003A2C4D"/>
    <w:rsid w:val="004226C0"/>
    <w:rsid w:val="00436ACC"/>
    <w:rsid w:val="004B648C"/>
    <w:rsid w:val="005A0845"/>
    <w:rsid w:val="005E1810"/>
    <w:rsid w:val="005E60C0"/>
    <w:rsid w:val="00605544"/>
    <w:rsid w:val="00650520"/>
    <w:rsid w:val="00676653"/>
    <w:rsid w:val="006F01A1"/>
    <w:rsid w:val="007B71DB"/>
    <w:rsid w:val="00834CEC"/>
    <w:rsid w:val="008A57B8"/>
    <w:rsid w:val="008D1EB2"/>
    <w:rsid w:val="008E0DB1"/>
    <w:rsid w:val="00922A8D"/>
    <w:rsid w:val="00927589"/>
    <w:rsid w:val="00962DB3"/>
    <w:rsid w:val="00975CE9"/>
    <w:rsid w:val="00A1471C"/>
    <w:rsid w:val="00AC156F"/>
    <w:rsid w:val="00AF6B6D"/>
    <w:rsid w:val="00B15C53"/>
    <w:rsid w:val="00B31C44"/>
    <w:rsid w:val="00B5146B"/>
    <w:rsid w:val="00BA27D7"/>
    <w:rsid w:val="00BD596F"/>
    <w:rsid w:val="00BF19D1"/>
    <w:rsid w:val="00C05C3D"/>
    <w:rsid w:val="00C21DAA"/>
    <w:rsid w:val="00C3777C"/>
    <w:rsid w:val="00CB0A7A"/>
    <w:rsid w:val="00CF65F5"/>
    <w:rsid w:val="00DA13EB"/>
    <w:rsid w:val="00DB7575"/>
    <w:rsid w:val="00E236E6"/>
    <w:rsid w:val="00E71790"/>
    <w:rsid w:val="00EA2633"/>
    <w:rsid w:val="00EA5E71"/>
    <w:rsid w:val="00EC2ECE"/>
    <w:rsid w:val="00EC4B4B"/>
    <w:rsid w:val="00F85863"/>
    <w:rsid w:val="00FB027C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CC44-1356-4863-95EF-0523D057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2016-01-23T09:09:00Z</cp:lastPrinted>
  <dcterms:created xsi:type="dcterms:W3CDTF">2021-04-14T08:50:00Z</dcterms:created>
  <dcterms:modified xsi:type="dcterms:W3CDTF">2021-04-14T09:23:00Z</dcterms:modified>
</cp:coreProperties>
</file>